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 w:val="false"/>
        <w:numPr>
          <w:ilvl w:val="0"/>
          <w:numId w:val="0"/>
        </w:numPr>
        <w:pBdr/>
        <w:shd w:val="clear" w:fill="auto"/>
        <w:spacing w:lineRule="auto" w:line="288" w:before="57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commentRangeStart w:id="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MATRIZ DE ACOCAÇÃO DE RISCOS – PLANEJAMENTO DA CONTRATAÇÃO</w:t>
      </w:r>
      <w:commentRangeEnd w:id="0"/>
      <w:r>
        <w:commentReference w:id="0"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highlight w:val="yellow"/>
          <w:u w:val="single"/>
          <w:vertAlign w:val="baseline"/>
        </w:rPr>
        <w:t>Documento deverá ser cadastrado no módulo Gestão de Riscos no SIASGNet. O CPF dos servidores deverá possuir acesso restrito. Ao incluir o documento no SIPAC, o CPF deverá ser excluído ou convertido em caracteres especiais que impossibilitem a identificação.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(São apresentados neste documento riscos comuns que costumam ser apontados como riscos da etapa de planejamento da contratação. Todavia, os responsáveis pela elaboração do documento deverão analisar as sugestões e sua aplicabilidade ao caso concreto, bem como complementar com os demais riscos identificados)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58"/>
        <w:gridCol w:w="1477"/>
        <w:gridCol w:w="51"/>
        <w:gridCol w:w="969"/>
        <w:gridCol w:w="512"/>
        <w:gridCol w:w="115"/>
        <w:gridCol w:w="1416"/>
        <w:gridCol w:w="508"/>
        <w:gridCol w:w="1022"/>
        <w:gridCol w:w="1531"/>
      </w:tblGrid>
      <w:tr>
        <w:trPr/>
        <w:tc>
          <w:tcPr>
            <w:tcW w:w="9359" w:type="dxa"/>
            <w:gridSpan w:val="10"/>
            <w:tcBorders/>
            <w:shd w:fill="AFD095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RISCO 01 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Definição: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CONTRATAÇÃO NÃO ATENDER AS NECESSIDADES DA ADMINISTRAÇÃO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Nível: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 (menor)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 (maior)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Probabilidade: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Impacto: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Alocação do Risco:</w:t>
            </w:r>
          </w:p>
        </w:tc>
        <w:tc>
          <w:tcPr>
            <w:tcW w:w="2497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Administração</w:t>
            </w:r>
          </w:p>
        </w:tc>
        <w:tc>
          <w:tcPr>
            <w:tcW w:w="2551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Contratada</w:t>
            </w:r>
          </w:p>
        </w:tc>
        <w:tc>
          <w:tcPr>
            <w:tcW w:w="2553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Seguradora</w:t>
            </w:r>
          </w:p>
        </w:tc>
      </w:tr>
      <w:tr>
        <w:trPr/>
        <w:tc>
          <w:tcPr>
            <w:tcW w:w="3286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Itens aos quais se aplicam o risco (opcional):</w:t>
            </w:r>
          </w:p>
        </w:tc>
        <w:tc>
          <w:tcPr>
            <w:tcW w:w="6073" w:type="dxa"/>
            <w:gridSpan w:val="7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Impactos: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Não atendimento adequado das necessidades da Administração.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Consequências: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Desperdício de recursos públicos.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Ações Preventivas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Responsável(is)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Participação efetiva do setor/servidor requisitante e responsável pelas rotinas de fiscalização nas atividades da equipe de planejamento da contratação.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Equipe de Planejamento da Contratação; Requisitante.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Atenção às reais necessidades da Administração na elaboração dos documentos que nortearão a contratação.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Equipe de Planejamento da Contratação; Requisitante.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Ações de Contingência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Responsável(is)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Avaliar a possibilidade de sanar com a alteração contratual.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Coordenação de Licitações e Contratos.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58"/>
        <w:gridCol w:w="1477"/>
        <w:gridCol w:w="51"/>
        <w:gridCol w:w="969"/>
        <w:gridCol w:w="512"/>
        <w:gridCol w:w="115"/>
        <w:gridCol w:w="1416"/>
        <w:gridCol w:w="508"/>
        <w:gridCol w:w="1022"/>
        <w:gridCol w:w="1531"/>
      </w:tblGrid>
      <w:tr>
        <w:trPr/>
        <w:tc>
          <w:tcPr>
            <w:tcW w:w="9359" w:type="dxa"/>
            <w:gridSpan w:val="10"/>
            <w:tcBorders/>
            <w:shd w:fill="AFD095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RISCO 02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Definição: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EQUÍVOCO NO DIMENSIONAMENTO DA DEMANDA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Nível: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 (menor)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 (maior)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Probabilidade: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Impacto: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Alocação do Risco:</w:t>
            </w:r>
          </w:p>
        </w:tc>
        <w:tc>
          <w:tcPr>
            <w:tcW w:w="2497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Administração</w:t>
            </w:r>
          </w:p>
        </w:tc>
        <w:tc>
          <w:tcPr>
            <w:tcW w:w="2551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Contratada</w:t>
            </w:r>
          </w:p>
        </w:tc>
        <w:tc>
          <w:tcPr>
            <w:tcW w:w="2553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Seguradora</w:t>
            </w:r>
          </w:p>
        </w:tc>
      </w:tr>
      <w:tr>
        <w:trPr/>
        <w:tc>
          <w:tcPr>
            <w:tcW w:w="3286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Itens aos quais se aplicam o risco (opcional):</w:t>
            </w:r>
          </w:p>
        </w:tc>
        <w:tc>
          <w:tcPr>
            <w:tcW w:w="6073" w:type="dxa"/>
            <w:gridSpan w:val="7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Impactos: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Não atendimento adequado das necessidades da Administração;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Consequências: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Desperdício de recursos públicos.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Ações Preventivas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Responsável(is)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Elaboração de estudo técnico preliminar para o correto dimensionamento da demanda.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Equipe de Planejamento da Contratação; Requisitante.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Esclarecer eventuais dúvidas dos servidores responsáveis quanto a correta elaboração do estudo técnico preliminar.</w:t>
            </w:r>
          </w:p>
        </w:tc>
        <w:tc>
          <w:tcPr>
            <w:tcW w:w="4477" w:type="dxa"/>
            <w:gridSpan w:val="4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Coordenação de Compras e Licitações; Diretoria de Administração e Planejamento.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Ações de Contingência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Responsável(is)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Refazer o dimensionamento de modo a atender as necessidades da Administração.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Equipe de Planejamento da Contratação; Requisitante.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Avaliar a possibilidade de sanar com a alteração contratual.</w:t>
            </w:r>
          </w:p>
        </w:tc>
        <w:tc>
          <w:tcPr>
            <w:tcW w:w="4477" w:type="dxa"/>
            <w:gridSpan w:val="4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Coordenação de Licitações e Contratos.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Em não havendo possibilidade de sanar com a alteração contratual, proceder a novo procedimento licitatório para contratação.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Coordenação de Licitações e Contratos.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</w:tbl>
    <w:p>
      <w:pPr>
        <w:pStyle w:val="Normal1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tbl>
      <w:tblPr>
        <w:tblStyle w:val="Table3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58"/>
        <w:gridCol w:w="1477"/>
        <w:gridCol w:w="51"/>
        <w:gridCol w:w="969"/>
        <w:gridCol w:w="512"/>
        <w:gridCol w:w="115"/>
        <w:gridCol w:w="1416"/>
        <w:gridCol w:w="508"/>
        <w:gridCol w:w="1022"/>
        <w:gridCol w:w="1531"/>
      </w:tblGrid>
      <w:tr>
        <w:trPr/>
        <w:tc>
          <w:tcPr>
            <w:tcW w:w="9359" w:type="dxa"/>
            <w:gridSpan w:val="10"/>
            <w:tcBorders/>
            <w:shd w:fill="AFD095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RISCO 03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Definição: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PESSOAL EM QUANTIDADE OU COM QUALIFICAÇÃO INADEQUADA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Nível: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 (menor)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 (maior)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Probabilidade: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Impacto: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Alocação do Risco:</w:t>
            </w:r>
          </w:p>
        </w:tc>
        <w:tc>
          <w:tcPr>
            <w:tcW w:w="2497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Administração</w:t>
            </w:r>
          </w:p>
        </w:tc>
        <w:tc>
          <w:tcPr>
            <w:tcW w:w="2551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Contratada</w:t>
            </w:r>
          </w:p>
        </w:tc>
        <w:tc>
          <w:tcPr>
            <w:tcW w:w="2553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Seguradora</w:t>
            </w:r>
          </w:p>
        </w:tc>
      </w:tr>
      <w:tr>
        <w:trPr/>
        <w:tc>
          <w:tcPr>
            <w:tcW w:w="3286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Itens aos quais se aplicam o risco (opcional):</w:t>
            </w:r>
          </w:p>
        </w:tc>
        <w:tc>
          <w:tcPr>
            <w:tcW w:w="6073" w:type="dxa"/>
            <w:gridSpan w:val="7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Impactos: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Não atendimento das necessidades da Administração;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Consequências: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Desperdício de recurso público.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Ações Preventivas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Responsável(is)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Detalhamento adequado e condizente das exigências de qualificação a serem exigidas dos profissionais.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Equipe de Planejamento da Contratação; Requisitante.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Inserir cláusula contratual/editalícia onde a empresa fique obrigada a fornecer capacitação;</w:t>
            </w:r>
          </w:p>
        </w:tc>
        <w:tc>
          <w:tcPr>
            <w:tcW w:w="4477" w:type="dxa"/>
            <w:gridSpan w:val="4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Coordenação de Licitações e Contratos.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Orientar/ Realizar a fiscalização contínua quanto a execução das atividades verificando deficit de mão de obra.</w:t>
            </w:r>
          </w:p>
        </w:tc>
        <w:tc>
          <w:tcPr>
            <w:tcW w:w="4477" w:type="dxa"/>
            <w:gridSpan w:val="4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Gestão de Contratos; Fiscais.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Ações de Contingência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Responsável(is)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Realizar os descontos pertinentes com o IMR (Instrumento de Resultado)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Gestão de Contratos; Fiscais.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Solicitar substituição dos colaboradores</w:t>
            </w:r>
          </w:p>
        </w:tc>
        <w:tc>
          <w:tcPr>
            <w:tcW w:w="4477" w:type="dxa"/>
            <w:gridSpan w:val="4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Gestão de Contratos; Fiscais.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Comunicar à Autoridade Máxima para eventual instauração de processo de penalização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Gestão de Contratos.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</w:tbl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Style w:val="Table4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58"/>
        <w:gridCol w:w="1477"/>
        <w:gridCol w:w="51"/>
        <w:gridCol w:w="969"/>
        <w:gridCol w:w="512"/>
        <w:gridCol w:w="115"/>
        <w:gridCol w:w="1416"/>
        <w:gridCol w:w="508"/>
        <w:gridCol w:w="1022"/>
        <w:gridCol w:w="1531"/>
      </w:tblGrid>
      <w:tr>
        <w:trPr/>
        <w:tc>
          <w:tcPr>
            <w:tcW w:w="9359" w:type="dxa"/>
            <w:gridSpan w:val="10"/>
            <w:tcBorders/>
            <w:shd w:fill="AFD095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commentRangeStart w:id="1"/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RISCO 04</w:t>
            </w:r>
            <w:commentRangeEnd w:id="1"/>
            <w:r>
              <w:commentReference w:id="1"/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Definição: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Spranq eco sans" w:cs="Spranq eco sans" w:ascii="Spranq eco sans" w:hAnsi="Spranq eco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DESCUMPRIMENTO DAS OBRIGAÇÕES TRABALHISTAS, PREVIDENCIÁRIAS E COM FGTS DA CONTRATADA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Nível: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 (menor)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 (maior)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Probabilidade: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Impacto: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Alocação do Risco:</w:t>
            </w:r>
          </w:p>
        </w:tc>
        <w:tc>
          <w:tcPr>
            <w:tcW w:w="2497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Administração</w:t>
            </w:r>
          </w:p>
        </w:tc>
        <w:tc>
          <w:tcPr>
            <w:tcW w:w="2551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Contratada</w:t>
            </w:r>
          </w:p>
        </w:tc>
        <w:tc>
          <w:tcPr>
            <w:tcW w:w="2553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Seguradora</w:t>
            </w:r>
          </w:p>
        </w:tc>
      </w:tr>
      <w:tr>
        <w:trPr/>
        <w:tc>
          <w:tcPr>
            <w:tcW w:w="3286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Itens aos quais se aplicam o risco (opcional):</w:t>
            </w:r>
          </w:p>
        </w:tc>
        <w:tc>
          <w:tcPr>
            <w:tcW w:w="6073" w:type="dxa"/>
            <w:gridSpan w:val="7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Impactos: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Ações judiciais em que a Administração figure como parte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Consequências: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Responsabilização solidária da Administração em relação aos empregados alocados no contrato.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Ações Preventivas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Responsável(is)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Previsão de exigência de Conta Vinculada;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Coordenação de Licitações e Contratos.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Retenção mensal dos valores provisionados para a Conta Vinculada;</w:t>
            </w:r>
          </w:p>
        </w:tc>
        <w:tc>
          <w:tcPr>
            <w:tcW w:w="4477" w:type="dxa"/>
            <w:gridSpan w:val="4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Coordenação de Execução Orçamentária e Financeira.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Fiscalização/Acompanhamento efetivo da execução do contrato em relação ao cumprimento das obrigações trabalhistas.</w:t>
            </w:r>
          </w:p>
        </w:tc>
        <w:tc>
          <w:tcPr>
            <w:tcW w:w="4477" w:type="dxa"/>
            <w:gridSpan w:val="4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Gestão de Contratos; Fiscais.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Ações de Contingência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Responsável(is)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Glosa a partir do instrumento de medição de resultados (IMR)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Gestão de Contratos; Fiscais.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2"/>
                <w:sz w:val="22"/>
                <w:szCs w:val="22"/>
                <w:vertAlign w:val="baseline"/>
              </w:rPr>
              <w:t>Retenção do Pagamento</w:t>
            </w:r>
          </w:p>
        </w:tc>
        <w:tc>
          <w:tcPr>
            <w:tcW w:w="4477" w:type="dxa"/>
            <w:gridSpan w:val="4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Gestão de Contratos; Fiscais.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2"/>
                <w:sz w:val="22"/>
                <w:szCs w:val="22"/>
                <w:vertAlign w:val="baseline"/>
              </w:rPr>
              <w:t>Encaminhamento para apuração de responsabilização contratual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Gestão de Contratos.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2"/>
                <w:sz w:val="22"/>
                <w:szCs w:val="22"/>
                <w:vertAlign w:val="baseline"/>
              </w:rPr>
              <w:t>Rescisão contratual concomitante com uma nova contratação.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Gestão de Contratos; Coordenação de Licitações e Contratos; Diretoria de Administração e Planejamento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</w:tbl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Style w:val="Table5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58"/>
        <w:gridCol w:w="1477"/>
        <w:gridCol w:w="51"/>
        <w:gridCol w:w="969"/>
        <w:gridCol w:w="512"/>
        <w:gridCol w:w="115"/>
        <w:gridCol w:w="1416"/>
        <w:gridCol w:w="508"/>
        <w:gridCol w:w="1022"/>
        <w:gridCol w:w="1531"/>
      </w:tblGrid>
      <w:tr>
        <w:trPr/>
        <w:tc>
          <w:tcPr>
            <w:tcW w:w="9359" w:type="dxa"/>
            <w:gridSpan w:val="10"/>
            <w:tcBorders/>
            <w:shd w:fill="AFD095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RISCO 05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Definição: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Spranq eco sans" w:cs="Spranq eco sans" w:ascii="Spranq eco sans" w:hAnsi="Spranq eco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CONTINGENCIAMENTO ORÇAMENTÁRIO/FALTA DE RECURSOS PARA A CONTRATAÇÃO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Nível: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 (menor)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 (maior)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Probabilidade: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Impacto:</w:t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Alocação do Risco:</w:t>
            </w:r>
          </w:p>
        </w:tc>
        <w:tc>
          <w:tcPr>
            <w:tcW w:w="2497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Administração</w:t>
            </w:r>
          </w:p>
        </w:tc>
        <w:tc>
          <w:tcPr>
            <w:tcW w:w="2551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Contratada</w:t>
            </w:r>
          </w:p>
        </w:tc>
        <w:tc>
          <w:tcPr>
            <w:tcW w:w="2553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) Seguradora</w:t>
            </w:r>
          </w:p>
        </w:tc>
      </w:tr>
      <w:tr>
        <w:trPr/>
        <w:tc>
          <w:tcPr>
            <w:tcW w:w="3286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Itens aos quais se aplicam o risco (opcional):</w:t>
            </w:r>
          </w:p>
        </w:tc>
        <w:tc>
          <w:tcPr>
            <w:tcW w:w="6073" w:type="dxa"/>
            <w:gridSpan w:val="7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Impactos: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Impossibilidade da efetivação da contratação;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Atraso no adimplemento das obrigações junto a contratada;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Consequências:</w:t>
            </w:r>
          </w:p>
        </w:tc>
        <w:tc>
          <w:tcPr>
            <w:tcW w:w="7601" w:type="dxa"/>
            <w:gridSpan w:val="9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Não atendimento das necessidades da Administração;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Abandono do contrato em decorrência do não pagamento.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Ações Preventivas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Responsável(is)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Priorizar a demanda no planejamento orçamentário/financeiro da instituição;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Diretoria de Administração e Planejamento.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Vincular o certame a Lei 8.666/93, para garantir a aplicação do art. 75, XV, resguardando a obrigatoriedade de absorção dos impactos financeiros em caso de atraso de pagamento por até 90 dias.</w:t>
            </w:r>
          </w:p>
        </w:tc>
        <w:tc>
          <w:tcPr>
            <w:tcW w:w="4477" w:type="dxa"/>
            <w:gridSpan w:val="4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Coordenação de Compras e Licitações.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Ações de Contingência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Responsável(is)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Remanejar recursos para viabilizar os empenhos/pagamentos;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Diretoria de Administração e Planejamento.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2"/>
                <w:sz w:val="22"/>
                <w:szCs w:val="22"/>
                <w:vertAlign w:val="baseline"/>
              </w:rPr>
              <w:t>Prospectar novos recursos que viabilizem a contratação e sua continuidade;</w:t>
            </w:r>
          </w:p>
        </w:tc>
        <w:tc>
          <w:tcPr>
            <w:tcW w:w="4477" w:type="dxa"/>
            <w:gridSpan w:val="4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Diretoria de Administração e Planejamento.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  <w:tr>
        <w:trPr/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3124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2"/>
                <w:sz w:val="22"/>
                <w:szCs w:val="22"/>
                <w:vertAlign w:val="baseline"/>
              </w:rPr>
              <w:t>Readequar a contratação para eventual nova realidade orçamentária/financeira</w:t>
            </w:r>
          </w:p>
        </w:tc>
        <w:tc>
          <w:tcPr>
            <w:tcW w:w="4477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Gestão de Contratos; Diretoria de Administração e Planejamento.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5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Nome(s) e CPF(s) (solicitados no Comprasnet 4.0)</w:t>
            </w:r>
          </w:p>
        </w:tc>
      </w:tr>
    </w:tbl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Style w:val="Table6"/>
        <w:tblW w:w="94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4"/>
        <w:gridCol w:w="7140"/>
      </w:tblGrid>
      <w:tr>
        <w:trPr/>
        <w:tc>
          <w:tcPr>
            <w:tcW w:w="9404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INDICAÇÃO DE SERVIDORES REQUISITANTES E RESPONSÁVEIS PELA ELABORAÇÃO DOS ESTUDOS PRELIMINARES (EQUIPE DE PLANEJAMENTO DA CONTRATAÇÃO/AQUISIÇÃO)</w:t>
            </w:r>
          </w:p>
        </w:tc>
      </w:tr>
      <w:tr>
        <w:trPr/>
        <w:tc>
          <w:tcPr>
            <w:tcW w:w="2264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Requisitante: </w:t>
            </w:r>
          </w:p>
        </w:tc>
        <w:tc>
          <w:tcPr>
            <w:tcW w:w="7140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Nome, Siape, Cargo</w:t>
            </w:r>
          </w:p>
        </w:tc>
      </w:tr>
      <w:tr>
        <w:trPr/>
        <w:tc>
          <w:tcPr>
            <w:tcW w:w="2264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Integrante Requisitante:</w:t>
            </w:r>
          </w:p>
        </w:tc>
        <w:tc>
          <w:tcPr>
            <w:tcW w:w="7140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Nome, Siape, Cargo</w:t>
            </w:r>
          </w:p>
        </w:tc>
      </w:tr>
      <w:tr>
        <w:trPr/>
        <w:tc>
          <w:tcPr>
            <w:tcW w:w="2264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Integrante Requisitante:</w:t>
            </w:r>
          </w:p>
        </w:tc>
        <w:tc>
          <w:tcPr>
            <w:tcW w:w="7140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Nome, Siape, Cargo</w:t>
            </w:r>
          </w:p>
        </w:tc>
      </w:tr>
      <w:tr>
        <w:trPr/>
        <w:tc>
          <w:tcPr>
            <w:tcW w:w="2264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7140" w:type="dxa"/>
            <w:tcBorders/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88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33"/>
          <w:position w:val="0"/>
          <w:sz w:val="20"/>
          <w:sz w:val="20"/>
          <w:szCs w:val="20"/>
          <w:highlight w:val="white"/>
          <w:u w:val="single"/>
          <w:vertAlign w:val="baseline"/>
        </w:rPr>
        <w:t>Documento deverá assinado eletronicamente no SIPAC pela Equipe de Planejamento da Contratação/Aquisição.</w:t>
      </w:r>
    </w:p>
    <w:p>
      <w:pPr>
        <w:pStyle w:val="Normal1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position w:val="0"/>
          <w:sz w:val="16"/>
          <w:sz w:val="16"/>
          <w:szCs w:val="16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850" w:top="3005" w:footer="850" w:bottom="2801"/>
      <w:pgNumType w:start="1"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Autor desconhecido" w:date="2023-01-30T19:20:39Z" w:initials="">
    <w:p>
      <w:r>
        <w:rPr>
          <w:rFonts w:eastAsia="Segoe UI" w:cs="Tahoma"/>
          <w:lang w:val="en-US" w:eastAsia="en-US" w:bidi="en-US"/>
        </w:rPr>
        <w:t>Deverá ser utilizado em todas os pedidos de compras/serviços, exceto os enquadrados como dispensa de licitação, observando as peculiaridades em decorrência dos objetos:</w:t>
      </w:r>
    </w:p>
    <w:p>
      <w:r>
        <w:rPr>
          <w:rFonts w:eastAsia="Segoe UI" w:cs="Tahoma"/>
          <w:lang w:val="en-US" w:eastAsia="en-US" w:bidi="en-US"/>
        </w:rPr>
      </w:r>
    </w:p>
    <w:p>
      <w:r>
        <w:rPr>
          <w:rFonts w:eastAsia="Segoe UI" w:cs="Tahoma"/>
          <w:lang w:val="en-US" w:eastAsia="en-US" w:bidi="en-US"/>
        </w:rPr>
        <w:t>IN 04/2014;</w:t>
      </w:r>
    </w:p>
    <w:p>
      <w:r>
        <w:rPr>
          <w:rFonts w:eastAsia="Segoe UI" w:cs="Tahoma"/>
          <w:lang w:val="en-US" w:eastAsia="en-US" w:bidi="en-US"/>
        </w:rPr>
        <w:t>IN 05/2017;</w:t>
      </w:r>
    </w:p>
    <w:p>
      <w:r>
        <w:rPr>
          <w:rFonts w:eastAsia="Segoe UI" w:cs="Tahoma"/>
          <w:lang w:val="en-US" w:eastAsia="en-US" w:bidi="en-US"/>
        </w:rPr>
        <w:t>Lei 14.133/2021.</w:t>
      </w:r>
    </w:p>
    <w:p>
      <w:r>
        <w:rPr>
          <w:rFonts w:eastAsia="Segoe UI" w:cs="Tahoma"/>
          <w:lang w:val="en-US" w:eastAsia="en-US" w:bidi="en-US"/>
        </w:rPr>
      </w:r>
    </w:p>
    <w:p>
      <w:r>
        <w:rPr>
          <w:rFonts w:eastAsia="Segoe UI" w:cs="Tahoma"/>
          <w:lang w:val="en-US" w:eastAsia="en-US" w:bidi="en-US"/>
        </w:rPr>
        <w:t>Os riscos aqui mencionados deverão ser cadastrados no Portal de Compras do Governo Federal.</w:t>
      </w:r>
    </w:p>
  </w:comment>
  <w:comment w:id="1" w:author="Autor desconhecido" w:date="2023-01-30T19:20:39Z" w:initials="">
    <w:p>
      <w:r>
        <w:rPr>
          <w:rFonts w:eastAsia="Segoe UI" w:cs="Tahoma"/>
          <w:lang w:val="en-US" w:eastAsia="en-US" w:bidi="en-US"/>
        </w:rPr>
        <w:t>Sugere-se a utilização em casos de contratações que envolvam dedicação exclusiva de mão de obra.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Spranq ec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</w:r>
  </w:p>
  <w:tbl>
    <w:tblPr>
      <w:tblStyle w:val="Table7"/>
      <w:tblW w:w="9355" w:type="dxa"/>
      <w:jc w:val="left"/>
      <w:tblInd w:w="-5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855"/>
      <w:gridCol w:w="5499"/>
    </w:tblGrid>
    <w:tr>
      <w:trPr/>
      <w:tc>
        <w:tcPr>
          <w:tcW w:w="3855" w:type="dxa"/>
          <w:tcBorders/>
          <w:shd w:fill="auto" w:val="clea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Liberation Serif" w:hAnsi="Liberation Serif" w:eastAsia="Liberation Serif" w:cs="Liberation Serif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Liberation Serif" w:cs="Liberation Serif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37465</wp:posOffset>
                </wp:positionH>
                <wp:positionV relativeFrom="paragraph">
                  <wp:posOffset>26670</wp:posOffset>
                </wp:positionV>
                <wp:extent cx="1664970" cy="513080"/>
                <wp:effectExtent l="0" t="0" r="0" b="0"/>
                <wp:wrapSquare wrapText="bothSides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0" t="-330" r="-110" b="-3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51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9" w:type="dxa"/>
          <w:tcBorders/>
          <w:shd w:fill="auto" w:val="clear"/>
        </w:tcPr>
        <w:p>
          <w:pPr>
            <w:pStyle w:val="Normal1"/>
            <w:widowControl w:val="false"/>
            <w:jc w:val="both"/>
            <w:rPr>
              <w:rFonts w:ascii="Arial" w:hAnsi="Arial" w:eastAsia="Arial" w:cs="Arial"/>
              <w:sz w:val="16"/>
              <w:szCs w:val="16"/>
            </w:rPr>
          </w:pPr>
          <w:r>
            <w:rPr>
              <w:rFonts w:eastAsia="Arial" w:cs="Arial" w:ascii="Arial" w:hAnsi="Arial"/>
              <w:sz w:val="16"/>
              <w:szCs w:val="16"/>
            </w:rPr>
            <w:t xml:space="preserve">Comissão responsável pelos mapeamentos dos fluxos e padronizações dos processos de aquisições do Instituto Federal de Educação, Ciência e Tecnologia Catarinense. </w:t>
          </w:r>
        </w:p>
        <w:p>
          <w:pPr>
            <w:pStyle w:val="Normal1"/>
            <w:widowControl w:val="false"/>
            <w:jc w:val="both"/>
            <w:rPr>
              <w:rFonts w:ascii="Arial" w:hAnsi="Arial" w:eastAsia="Arial" w:cs="Arial"/>
              <w:sz w:val="16"/>
              <w:szCs w:val="16"/>
            </w:rPr>
          </w:pPr>
          <w:r>
            <w:rPr>
              <w:rFonts w:eastAsia="Arial" w:cs="Arial" w:ascii="Arial" w:hAnsi="Arial"/>
              <w:sz w:val="16"/>
              <w:szCs w:val="16"/>
            </w:rPr>
            <w:t>Portaria IFC/Reitoria nº 32/2022-PROAD/IFC, de 28 de julho de 2022.</w:t>
          </w:r>
        </w:p>
        <w:p>
          <w:pPr>
            <w:pStyle w:val="Normal1"/>
            <w:widowControl w:val="false"/>
            <w:pBdr/>
            <w:jc w:val="both"/>
            <w:rPr>
              <w:rFonts w:ascii="Arial" w:hAnsi="Arial" w:eastAsia="Arial" w:cs="Arial"/>
              <w:b/>
              <w:b/>
              <w:sz w:val="16"/>
              <w:szCs w:val="16"/>
              <w:u w:val="single"/>
            </w:rPr>
          </w:pPr>
          <w:r>
            <w:rPr>
              <w:rFonts w:eastAsia="Arial" w:cs="Arial" w:ascii="Arial" w:hAnsi="Arial"/>
              <w:b/>
              <w:sz w:val="16"/>
              <w:szCs w:val="16"/>
              <w:u w:val="single"/>
            </w:rPr>
            <w:t>Atualização: Fevereiro/2023</w:t>
          </w:r>
        </w:p>
      </w:tc>
    </w:tr>
  </w:tbl>
  <w:p>
    <w:pPr>
      <w:pStyle w:val="Normal1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0" distT="0" distB="0" distL="0" distR="0" simplePos="0" locked="0" layoutInCell="0" allowOverlap="1" relativeHeight="1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8655" cy="68453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Spranq eco sans" w:hAnsi="Spranq eco sans" w:eastAsia="Spranq eco sans" w:cs="Spranq ec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Spranq eco sans" w:cs="Spranq eco sans" w:ascii="Spranq eco sans" w:hAnsi="Spranq eco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Spranq eco sans" w:hAnsi="Spranq eco sans" w:eastAsia="Spranq eco sans" w:cs="Spranq ec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Spranq eco sans" w:cs="Spranq eco sans" w:ascii="Spranq eco sans" w:hAnsi="Spranq eco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Spranq eco sans" w:hAnsi="Spranq eco sans" w:eastAsia="Spranq eco sans" w:cs="Spranq ec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Spranq eco sans" w:cs="Spranq eco sans" w:ascii="Spranq eco sans" w:hAnsi="Spranq eco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Secretaria de Educação Profissional e Tecnológica</w:t>
    </w:r>
  </w:p>
  <w:p>
    <w:pPr>
      <w:pStyle w:val="Normal1"/>
      <w:keepNext w:val="false"/>
      <w:keepLines w:val="false"/>
      <w:pageBreakBefore w:val="false"/>
      <w:widowControl w:val="false"/>
      <w:pBdr>
        <w:bottom w:val="single" w:sz="8" w:space="2" w:color="000000"/>
      </w:pBdr>
      <w:shd w:val="clear" w:fill="auto"/>
      <w:spacing w:lineRule="auto" w:line="288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Instituto Federal Catarinense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mallCaps w:val="false"/>
        <w:caps w:val="false"/>
        <w:vertAlign w:val="baseline"/>
        <w:position w:val="0"/>
        <w:sz w:val="20"/>
        <w:sz w:val="20"/>
        <w:i w:val="false"/>
        <w:b/>
        <w:szCs w:val="20"/>
        <w:highlight w:val="yellow"/>
        <w:rFonts w:eastAsia="Arial" w:cs="Arial"/>
        <w:color w:val="00000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LibreOffice/7.4.5.1$Windows_X86_64 LibreOffice_project/9c0871452b3918c1019dde9bfac75448afc4b57f</Application>
  <AppVersion>15.0000</AppVersion>
  <Pages>7</Pages>
  <Words>1242</Words>
  <Characters>7352</Characters>
  <CharactersWithSpaces>8516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2023-02-23T09:56:23Z</dcterms:modified>
  <cp:revision>1</cp:revision>
  <dc:subject/>
  <dc:title/>
</cp:coreProperties>
</file>